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-177710</wp:posOffset>
            </wp:positionH>
            <wp:positionV relativeFrom="page">
              <wp:posOffset>720000</wp:posOffset>
            </wp:positionV>
            <wp:extent cx="3231389" cy="5939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89" cy="593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  <w:rPr>
          <w:rFonts w:ascii="Times New Roman" w:hAnsi="Times New Roman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INFORMACIJA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INIASKLAIDAI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en-US"/>
        </w:rPr>
        <w:t>20</w:t>
      </w:r>
      <w:r>
        <w:rPr>
          <w:rFonts w:ascii="Times New Roman" w:hAnsi="Times New Roman"/>
          <w:sz w:val="24"/>
          <w:szCs w:val="24"/>
          <w:rtl w:val="0"/>
        </w:rPr>
        <w:t xml:space="preserve"> m. </w:t>
      </w:r>
      <w:r>
        <w:rPr>
          <w:rFonts w:ascii="Times New Roman" w:hAnsi="Times New Roman"/>
          <w:sz w:val="24"/>
          <w:szCs w:val="24"/>
          <w:rtl w:val="0"/>
        </w:rPr>
        <w:t xml:space="preserve">liepos </w:t>
      </w:r>
      <w:r>
        <w:rPr>
          <w:rFonts w:ascii="Times New Roman" w:hAnsi="Times New Roman"/>
          <w:sz w:val="24"/>
          <w:szCs w:val="24"/>
          <w:rtl w:val="0"/>
          <w:lang w:val="en-US"/>
        </w:rPr>
        <w:t>7</w:t>
      </w:r>
      <w:r>
        <w:rPr>
          <w:rFonts w:ascii="Times New Roman" w:hAnsi="Times New Roman"/>
          <w:sz w:val="24"/>
          <w:szCs w:val="24"/>
          <w:rtl w:val="0"/>
        </w:rPr>
        <w:t xml:space="preserve"> d.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linij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o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budi daugiau psicholog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ir ilg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ja darbo laikas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Profesionali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psicholog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konsultacijos telefonu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linijoje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nuo liepos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prad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ios teikiamos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ir rytais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nuo 9 val. Nemokamai ir anonimi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kai pasitarti su psichologu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vairiais vaik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aukl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jimo klausimai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gal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daugiau nei iki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iol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glob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bei seneli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visos Lietuvos.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l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COVID-19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dar labiau 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augo psichologo konsultacij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poreikis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Daugiau nei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2,5 met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Paramos vaikams centr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veikian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ioje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 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linij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oje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vis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laik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skambinan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yra kur kas daugiau nei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galima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atsiliepti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 riboto linijos darbo laiko. Vien pernai liko neatsiliept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pus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skambu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COVID-19 sukelt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situacij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dar labiau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augo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poreik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kreiptis patarim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tiek karantino metu, tiek ir jam pasibaigus.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Bendra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tampa, kuri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suk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prisitaikymo prie nauj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aplinkybi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ššū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kiai, ne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inomyb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 ateities, nerimas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 savo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artim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sveikatos, prisid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jo, kad daugiau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tempt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situacij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kil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davo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ir namuose.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darbas 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vaik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nuotolinis ugdymas, riboti kontaktai su artimaisiais, ma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esn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galimyb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gauti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gyv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ą“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specialist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pagalb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turi savo padarini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ir dabar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sako Paramos vaikams centro psicholog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linijos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vadov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Baltu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kien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lieka aktual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ir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prastai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vus neraminantys klausimai: kaip reaguoti, kai 2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–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3 met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vaikas viskam prie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tarauja, kas padeda motyvuoti vaikus mokytis, kod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 staiga pasikei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ia paauglio elgesys, kaip spr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sti agresyvaus elgesio sukeltas problemas ir kt.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Ilgesnis darbo laikas: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nuo 9 iki 13 val. ir nuo 17 iki 21 val.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Siekiant suteikti daugiau konsultacij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– 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psichologini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ų ž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ini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ir rekomendacij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ų į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vairiais t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vyst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 xml:space="preserve">s klausimais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– „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c00000"/>
          <w:rtl w:val="0"/>
          <w:lang w:val="en-US"/>
        </w:rPr>
        <w:t>linijos</w:t>
      </w:r>
      <w:r>
        <w:rPr>
          <w:rFonts w:ascii="Times New Roman" w:hAnsi="Times New Roman" w:hint="default"/>
          <w:sz w:val="24"/>
          <w:szCs w:val="24"/>
          <w:u w:color="c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darbo laikas ilginamas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ir pradeda dirbti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daugiau psicholog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-konsultant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Dabar nemokamu numeriu 8 800 900 12 galima skambinti darbo dienomis nuo 9 iki 13 val. ir nuo 17 iki 21 val.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Psichologai konsultuos ir rytais, nes tai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patogus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metas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vams, kuri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darbo diena dar ne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sib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jo, o vaikai jau palyd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į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ar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nuo rudens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– į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mokykl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Be to, prie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telefon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daugiau psicholog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prastu, vakariniu metu ir vidurdien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Mat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vams lengviau rasti laiko konsultacijai piet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pertraukos metu, o vakarais kyla daugiau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tampos tarp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eimos nari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ir atsakymo kaip elgtis ar pagalbos nusiraminti reikia 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š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karto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pastebi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J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Baltu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kien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OpenSans" w:cs="OpenSans" w:hAnsi="OpenSans" w:eastAsia="OpenSans"/>
          <w:sz w:val="24"/>
          <w:szCs w:val="24"/>
          <w:u w:color="c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Skirtingai nuo kit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</w:rPr>
        <w:t>pagalbos linij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ų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, kurios remiasi savanori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ka veikla,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</w:rPr>
        <w:t>linij</w:t>
      </w:r>
      <w:r>
        <w:rPr>
          <w:rFonts w:ascii="Times New Roman" w:hAnsi="Times New Roman"/>
          <w:sz w:val="24"/>
          <w:szCs w:val="24"/>
          <w:u w:color="000000"/>
          <w:rtl w:val="0"/>
        </w:rPr>
        <w:t>oje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dirba </w:t>
      </w:r>
      <w:r>
        <w:rPr>
          <w:rFonts w:ascii="Times New Roman" w:hAnsi="Times New Roman"/>
          <w:sz w:val="24"/>
          <w:szCs w:val="24"/>
          <w:u w:color="000000"/>
          <w:rtl w:val="0"/>
        </w:rPr>
        <w:t>tik profesional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ū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 psichologai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Jie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 xml:space="preserve"> padeda suprasti vaiku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̨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elgesi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̨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, savijauta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̨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,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poreikius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 ir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 xml:space="preserve"> paais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̌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kina kiekvieno amz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̌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s-ES_tradnl"/>
        </w:rPr>
        <w:t>iaus tarpsnio raidos ypatumus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>. Didel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ę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darbo su vaikais patirt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į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sukaup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ę 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Paramos vaikams centro psichologai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pataria, kaip spre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̨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sti konkrec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̌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ia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̨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situacij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ą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.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Taip pat p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>adeda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suaugusiems nusiraminti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 xml:space="preserve"> ir 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>suvaldyti emocijas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>, kai situacija yra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 xml:space="preserve"> į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>tempt</w:t>
      </w:r>
      <w:r>
        <w:rPr>
          <w:rFonts w:ascii="OpenSans" w:cs="OpenSans" w:hAnsi="OpenSans" w:eastAsia="OpenSans"/>
          <w:sz w:val="24"/>
          <w:szCs w:val="24"/>
          <w:u w:color="c00000"/>
          <w:rtl w:val="0"/>
          <w:lang w:val="en-US"/>
        </w:rPr>
        <w:t>a. Rekomenduoja, kaip mokyti vaikus susivaldyti ir tinkamai reik</w:t>
      </w:r>
      <w:r>
        <w:rPr>
          <w:rFonts w:ascii="OpenSans" w:cs="OpenSans" w:hAnsi="OpenSans" w:eastAsia="OpenSans" w:hint="default"/>
          <w:sz w:val="24"/>
          <w:szCs w:val="24"/>
          <w:u w:color="c00000"/>
          <w:rtl w:val="0"/>
        </w:rPr>
        <w:t>š</w:t>
      </w:r>
      <w:r>
        <w:rPr>
          <w:rFonts w:ascii="OpenSans" w:cs="OpenSans" w:hAnsi="OpenSans" w:eastAsia="OpenSans"/>
          <w:sz w:val="24"/>
          <w:szCs w:val="24"/>
          <w:u w:color="c00000"/>
          <w:rtl w:val="0"/>
        </w:rPr>
        <w:t xml:space="preserve">ti jausmus. </w:t>
      </w:r>
    </w:p>
    <w:p>
      <w:pPr>
        <w:pStyle w:val="Body"/>
        <w:bidi w:val="0"/>
        <w:ind w:left="0" w:right="0" w:firstLine="0"/>
        <w:jc w:val="both"/>
        <w:rPr>
          <w:rFonts w:ascii="OpenSans" w:cs="OpenSans" w:hAnsi="OpenSans" w:eastAsia="OpenSans"/>
          <w:sz w:val="24"/>
          <w:szCs w:val="24"/>
          <w:u w:color="c00000"/>
          <w:rtl w:val="0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u w:color="000000"/>
          <w:rtl w:val="0"/>
        </w:rPr>
        <w:t>linija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u w:color="000000"/>
          <w:rtl w:val="0"/>
        </w:rPr>
        <w:t>Paramos vaikams centr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į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gyvendinama programa, finansuojama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LR </w:t>
      </w:r>
      <w:r>
        <w:rPr>
          <w:rFonts w:ascii="Times New Roman" w:hAnsi="Times New Roman"/>
          <w:sz w:val="24"/>
          <w:szCs w:val="24"/>
          <w:u w:color="000000"/>
          <w:rtl w:val="0"/>
        </w:rPr>
        <w:t>Socialin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</w:rPr>
        <w:t>s apsaugos ir darbo ministerijos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Daugiau informacijos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instrText xml:space="preserve"> HYPERLINK "http://www.tevulinija.lt"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color="000000"/>
          <w:rtl w:val="0"/>
        </w:rPr>
        <w:t>www.tevulinija.lt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</w:p>
    <w:p>
      <w:pPr>
        <w:pStyle w:val="Body"/>
        <w:jc w:val="both"/>
        <w:rPr>
          <w:rFonts w:ascii="OpenSans" w:cs="OpenSans" w:hAnsi="OpenSans" w:eastAsia="OpenSans"/>
          <w:sz w:val="28"/>
          <w:szCs w:val="28"/>
          <w:u w:color="c00000"/>
        </w:rPr>
      </w:pP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- - - </w:t>
      </w: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Apie Paramos vaikams centr</w:t>
      </w:r>
      <w:r>
        <w:rPr>
          <w:rFonts w:ascii="Times New Roman" w:hAnsi="Times New Roman" w:hint="default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Tai nevyriausybin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organizacija, nuo 1995 m. teikianti psichologin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 socialin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teisin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pagalb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ą 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eimoms ir vaikams, 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gyvenantiems psichologinius sunkumus. Vykdomos programos: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Bi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 Brothers Big Sisters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Antras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ingsnis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Vaikyst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smurto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Pozityvi 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- - -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Daugiau informacijos: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Vaida 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kuvien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Paramos vaikams centro komunikacijos specialist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Mob. tel. 8 618 84879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</w:pPr>
      <w:r>
        <w:rPr>
          <w:rFonts w:ascii="Times New Roman" w:hAnsi="Times New Roman"/>
          <w:sz w:val="24"/>
          <w:szCs w:val="24"/>
          <w:u w:val="none"/>
          <w:rtl w:val="0"/>
        </w:rPr>
        <w:t xml:space="preserve">El. p. </w:t>
      </w:r>
      <w:r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  <w:instrText xml:space="preserve"> HYPERLINK "mailto:vaida.stoskuviene@pvc.lt"</w:instrText>
      </w:r>
      <w:r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  <w:fldChar w:fldCharType="separate" w:fldLock="0"/>
      </w:r>
      <w:r>
        <w:rPr>
          <w:rFonts w:ascii="Times New Roman" w:hAnsi="Times New Roman"/>
          <w:sz w:val="24"/>
          <w:szCs w:val="24"/>
          <w:u w:val="single"/>
          <w:rtl w:val="0"/>
        </w:rPr>
        <w:t>vaida.stoskuviene@pvc.lt</w:t>
      </w:r>
      <w:r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val="none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</w:rPr>
      </w:pP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en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